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left="-566.9291338582677" w:firstLine="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</w:rPr>
        <w:drawing>
          <wp:inline distB="114300" distT="114300" distL="114300" distR="114300">
            <wp:extent cx="3043653" cy="193503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43653" cy="19350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ind w:left="80" w:firstLine="0"/>
        <w:jc w:val="center"/>
        <w:rPr>
          <w:rFonts w:ascii="Open Sans" w:cs="Open Sans" w:eastAsia="Open Sans" w:hAnsi="Open Sans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“Мусорка” - не парковка!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color w:val="262626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ind w:left="80" w:firstLine="0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.06.20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ind w:left="80" w:firstLine="0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ПРЕСС-РЕЛИЗ</w:t>
      </w:r>
    </w:p>
    <w:p w:rsidR="00000000" w:rsidDel="00000000" w:rsidP="00000000" w:rsidRDefault="00000000" w:rsidRPr="00000000" w14:paraId="00000006">
      <w:pPr>
        <w:spacing w:after="14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Более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35% (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одной трети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 срывов графика вывоза ТКО* в Иркутске происходит из-за машин, припаркованных напротив контейнерных площадок. В результате на полигон не вывозится до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200 кубических метров ТКО еженедельно.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Если говорить о масштабе проблемы, то 200 куб. метров ТКО хватит для того, чтобы каждую неделю полностью покрывать Глазковский мост слоем мусора. </w:t>
      </w:r>
    </w:p>
    <w:p w:rsidR="00000000" w:rsidDel="00000000" w:rsidP="00000000" w:rsidRDefault="00000000" w:rsidRPr="00000000" w14:paraId="00000008">
      <w:pPr>
        <w:spacing w:line="276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Важно отметить, что у водителей мусоровозов нет возможности вернуться к проблемным площадкам в другое время, так как каждый мусоровоз придерживается строгого графика.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Ввиду принятия в Иркутской области Закона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N 107-ОЗ от 12.11.2007 или закона 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тишине”, время работы водителей мусоровозов ограничено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с 7:00 до 23:00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За это время каждый мусоровоз должен обслужить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от 40 до 60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разноудаленных контейнерных площадок с последующим вывозом ТКО на полигон. Это значит, что на одну площадку выделяется в среднем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12-15 минут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включая подъезд, погрузку, уборку просыпавшегося мусора и выезд мусоровоза из двора.</w:t>
      </w:r>
    </w:p>
    <w:p w:rsidR="00000000" w:rsidDel="00000000" w:rsidP="00000000" w:rsidRDefault="00000000" w:rsidRPr="00000000" w14:paraId="0000000A">
      <w:pPr>
        <w:spacing w:line="276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Перекрытый проезд регулярно становится причиной срыва графика вывоза ТКО. Убедительно просим горожан не загораживать проезд мусоровозу и не парковать автомобили вблизи контейнерных площадок. </w:t>
      </w:r>
    </w:p>
    <w:p w:rsidR="00000000" w:rsidDel="00000000" w:rsidP="00000000" w:rsidRDefault="00000000" w:rsidRPr="00000000" w14:paraId="0000000B">
      <w:pPr>
        <w:spacing w:line="276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истый город - наша совместная ответственность!</w:t>
      </w:r>
    </w:p>
    <w:p w:rsidR="00000000" w:rsidDel="00000000" w:rsidP="00000000" w:rsidRDefault="00000000" w:rsidRPr="00000000" w14:paraId="0000000C">
      <w:pPr>
        <w:spacing w:line="276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ind w:firstLine="72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*по данным за январь-май 2021 г.</w:t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rFonts w:ascii="Times New Roman" w:cs="Times New Roman" w:eastAsia="Times New Roman" w:hAnsi="Times New Roman"/>
          <w:i w:val="1"/>
          <w:color w:val="1a1a1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Times New Roman" w:cs="Times New Roman" w:eastAsia="Times New Roman" w:hAnsi="Times New Roman"/>
          <w:i w:val="1"/>
          <w:color w:val="1a1a1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1a1a1a"/>
          <w:sz w:val="24"/>
          <w:szCs w:val="24"/>
          <w:rtl w:val="0"/>
        </w:rPr>
        <w:t xml:space="preserve">Пресс-служба регионального оператора по обращению с ТКО в Зоне 2-юг Иркутской области ООО “РТ-НЭО Иркутск”</w:t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535353"/>
          <w:sz w:val="24"/>
          <w:szCs w:val="24"/>
          <w:rtl w:val="0"/>
        </w:rPr>
        <w:t xml:space="preserve">Т: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535353"/>
          <w:sz w:val="24"/>
          <w:szCs w:val="24"/>
          <w:highlight w:val="white"/>
          <w:rtl w:val="0"/>
        </w:rPr>
        <w:t xml:space="preserve">89148717826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535353"/>
          <w:sz w:val="24"/>
          <w:szCs w:val="24"/>
          <w:rtl w:val="0"/>
        </w:rPr>
        <w:t xml:space="preserve">| Иркутск, ул. Лермонтова, д. 337Б |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i w:val="1"/>
            <w:color w:val="535353"/>
            <w:sz w:val="24"/>
            <w:szCs w:val="24"/>
            <w:rtl w:val="0"/>
          </w:rPr>
          <w:t xml:space="preserve"> </w:t>
        </w:r>
      </w:hyperlink>
      <w:hyperlink r:id="rId8">
        <w:r w:rsidDel="00000000" w:rsidR="00000000" w:rsidRPr="00000000">
          <w:rPr>
            <w:rFonts w:ascii="Times New Roman" w:cs="Times New Roman" w:eastAsia="Times New Roman" w:hAnsi="Times New Roman"/>
            <w:i w:val="1"/>
            <w:color w:val="1155cc"/>
            <w:sz w:val="24"/>
            <w:szCs w:val="24"/>
            <w:u w:val="single"/>
            <w:rtl w:val="0"/>
          </w:rPr>
          <w:t xml:space="preserve">https://rtneo-irk.ru/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Times New Roman" w:cs="Times New Roman" w:eastAsia="Times New Roman" w:hAnsi="Times New Roman"/>
          <w:i w:val="1"/>
          <w:sz w:val="24"/>
          <w:szCs w:val="24"/>
          <w:highlight w:val="yellow"/>
        </w:rPr>
      </w:pPr>
      <w:hyperlink r:id="rId9">
        <w:r w:rsidDel="00000000" w:rsidR="00000000" w:rsidRPr="00000000">
          <w:rPr>
            <w:rFonts w:ascii="Times New Roman" w:cs="Times New Roman" w:eastAsia="Times New Roman" w:hAnsi="Times New Roman"/>
            <w:i w:val="1"/>
            <w:color w:val="1155cc"/>
            <w:sz w:val="24"/>
            <w:szCs w:val="24"/>
            <w:highlight w:val="white"/>
            <w:u w:val="single"/>
            <w:rtl w:val="0"/>
          </w:rPr>
          <w:t xml:space="preserve">press@rtneo-irk.ru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color w:val="5f6368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Times New Roman" w:cs="Times New Roman" w:eastAsia="Times New Roman" w:hAnsi="Times New Roman"/>
          <w:i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PR-менеджер ООО “РТ-НЭО Ирутск” Иванова Лия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i w:val="1"/>
            <w:color w:val="1155cc"/>
            <w:sz w:val="24"/>
            <w:szCs w:val="24"/>
            <w:highlight w:val="white"/>
            <w:u w:val="single"/>
            <w:rtl w:val="0"/>
          </w:rPr>
          <w:t xml:space="preserve">l.ivanova@groupstp.ru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3">
      <w:pPr>
        <w:spacing w:line="276" w:lineRule="auto"/>
        <w:ind w:firstLine="720"/>
        <w:jc w:val="both"/>
        <w:rPr>
          <w:rFonts w:ascii="Times New Roman" w:cs="Times New Roman" w:eastAsia="Times New Roman" w:hAnsi="Times New Roman"/>
          <w:i w:val="1"/>
          <w:color w:val="1a1a1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ind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4831390" cy="2711812"/>
            <wp:effectExtent b="0" l="0" r="0" t="0"/>
            <wp:docPr id="4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31390" cy="271181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4824413" cy="3611766"/>
            <wp:effectExtent b="0" l="0" r="0" t="0"/>
            <wp:docPr id="2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24413" cy="361176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4833938" cy="2716378"/>
            <wp:effectExtent b="0" l="0" r="0" t="0"/>
            <wp:docPr id="3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33938" cy="271637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692.7165354330737" w:top="566.9291338582677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.jpg"/><Relationship Id="rId10" Type="http://schemas.openxmlformats.org/officeDocument/2006/relationships/hyperlink" Target="mailto:l.ivanova@groupstp.ru" TargetMode="External"/><Relationship Id="rId13" Type="http://schemas.openxmlformats.org/officeDocument/2006/relationships/image" Target="media/image3.jpg"/><Relationship Id="rId12" Type="http://schemas.openxmlformats.org/officeDocument/2006/relationships/image" Target="media/image4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press@rtneo-irk.ru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://www.rostec.ru/" TargetMode="External"/><Relationship Id="rId8" Type="http://schemas.openxmlformats.org/officeDocument/2006/relationships/hyperlink" Target="https://rtneo-irk.ru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